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BCBD" w14:textId="2DBE8F1C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>MAIN PUBLICATIONS ON PHOTOCATALYTIC WATER SPLITTING</w:t>
      </w:r>
    </w:p>
    <w:p w14:paraId="003CBB4C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D1A5E" w14:textId="2246D561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Defective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BiVO4</w:t>
      </w:r>
    </w:p>
    <w:p w14:paraId="6CC97A43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Österbacka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</w:p>
    <w:p w14:paraId="68A6E3A9" w14:textId="158F0AF4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C 126 (6), 2960-2970</w:t>
      </w:r>
    </w:p>
    <w:p w14:paraId="2BA3EC99" w14:textId="4AB88362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CF4EF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53F7B">
        <w:rPr>
          <w:rFonts w:ascii="Times New Roman" w:hAnsi="Times New Roman" w:cs="Times New Roman"/>
          <w:sz w:val="24"/>
          <w:szCs w:val="24"/>
        </w:rPr>
        <w:t>Water‐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DMASnBr3 Lead‐Free Perovskite for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Solar‐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Photocatalysis</w:t>
      </w:r>
      <w:proofErr w:type="spellEnd"/>
    </w:p>
    <w:p w14:paraId="13FD6F8F" w14:textId="103C528B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Romani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239527F9" w14:textId="75374E13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Angewandte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133 (7), 3655-3662</w:t>
      </w:r>
    </w:p>
    <w:p w14:paraId="65BB15DA" w14:textId="55423C36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99CD6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53F7B">
        <w:rPr>
          <w:rFonts w:ascii="Times New Roman" w:hAnsi="Times New Roman" w:cs="Times New Roman"/>
          <w:sz w:val="24"/>
          <w:szCs w:val="24"/>
        </w:rPr>
        <w:t xml:space="preserve">Evaluation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photocatalysts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for water splitting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coverage and energy-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alignment</w:t>
      </w:r>
      <w:proofErr w:type="spellEnd"/>
    </w:p>
    <w:p w14:paraId="02E29DCE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690CD2A9" w14:textId="25A5E6CB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ACS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Catalysis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10 (22), 13186-13195</w:t>
      </w:r>
    </w:p>
    <w:p w14:paraId="6893B157" w14:textId="05074E45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82B4B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53F7B">
        <w:rPr>
          <w:rFonts w:ascii="Times New Roman" w:hAnsi="Times New Roman" w:cs="Times New Roman"/>
          <w:sz w:val="24"/>
          <w:szCs w:val="24"/>
        </w:rPr>
        <w:t xml:space="preserve">Strong Hole Trapping Due to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Dimers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in BiVO4: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on the Water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Reaction</w:t>
      </w:r>
    </w:p>
    <w:p w14:paraId="75A1B183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F Ambrosio, 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</w:p>
    <w:p w14:paraId="0452639E" w14:textId="16DD86E5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10 (22), 7113-7118</w:t>
      </w:r>
    </w:p>
    <w:p w14:paraId="4B8CBD88" w14:textId="714FE90A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3720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53F7B">
        <w:rPr>
          <w:rFonts w:ascii="Times New Roman" w:hAnsi="Times New Roman" w:cs="Times New Roman"/>
          <w:sz w:val="24"/>
          <w:szCs w:val="24"/>
        </w:rPr>
        <w:t xml:space="preserve">Absolute band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alignment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-water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interfaces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explicit and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implicit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descriptions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10AAA723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Hörmann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O Andreussi,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>, N Marzari</w:t>
      </w:r>
    </w:p>
    <w:p w14:paraId="21AC0E49" w14:textId="46883594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F7B">
        <w:rPr>
          <w:rFonts w:ascii="Times New Roman" w:hAnsi="Times New Roman" w:cs="Times New Roman"/>
          <w:sz w:val="24"/>
          <w:szCs w:val="24"/>
        </w:rPr>
        <w:t>npj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5 (1), 1-6</w:t>
      </w:r>
    </w:p>
    <w:p w14:paraId="727C381E" w14:textId="2281D06F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3BA3B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Solvent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Reaction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the TiO2–Water Interface</w:t>
      </w:r>
    </w:p>
    <w:p w14:paraId="431C4EF6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Gono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6925FDC6" w14:textId="26D293C8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C 123 (30), 18467-18474</w:t>
      </w:r>
    </w:p>
    <w:p w14:paraId="777C1B99" w14:textId="6F3BA268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82E87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Polarons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in Water Splitting: The Case of BiVO4</w:t>
      </w:r>
    </w:p>
    <w:p w14:paraId="55DD9B87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5DD26A4A" w14:textId="0A8A476C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ACS Energy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3 (7), 1693-1697</w:t>
      </w:r>
    </w:p>
    <w:p w14:paraId="75E2C1DD" w14:textId="17342E01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38BE0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C53F7B">
        <w:rPr>
          <w:rFonts w:ascii="Times New Roman" w:hAnsi="Times New Roman" w:cs="Times New Roman"/>
          <w:sz w:val="24"/>
          <w:szCs w:val="24"/>
        </w:rPr>
        <w:t xml:space="preserve">Surface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polarons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overpotentials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reaction</w:t>
      </w:r>
    </w:p>
    <w:p w14:paraId="3BE9EA70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Gono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47D5936F" w14:textId="2F444ABB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ACS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Catalysis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8 (7), 5847-5851</w:t>
      </w:r>
    </w:p>
    <w:p w14:paraId="69F3B748" w14:textId="45CB2CB5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8B671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C53F7B">
        <w:rPr>
          <w:rFonts w:ascii="Times New Roman" w:hAnsi="Times New Roman" w:cs="Times New Roman"/>
          <w:sz w:val="24"/>
          <w:szCs w:val="24"/>
        </w:rPr>
        <w:t>pH-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Reaction Pathway for Water Splitting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the BiVO4–Water Interface from the Band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Alignment</w:t>
      </w:r>
      <w:proofErr w:type="spellEnd"/>
    </w:p>
    <w:p w14:paraId="68ABE5EA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F Ambrosio, 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1E7EF6A5" w14:textId="0CCBC950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ACS Energy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3 (4), 829-834</w:t>
      </w:r>
    </w:p>
    <w:p w14:paraId="00F6CB6C" w14:textId="16E69B0B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17817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C53F7B">
        <w:rPr>
          <w:rFonts w:ascii="Times New Roman" w:hAnsi="Times New Roman" w:cs="Times New Roman"/>
          <w:sz w:val="24"/>
          <w:szCs w:val="24"/>
        </w:rPr>
        <w:t>pH-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Surface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from First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>: Application to the BiVO4(</w:t>
      </w:r>
      <w:proofErr w:type="gramStart"/>
      <w:r w:rsidRPr="00C53F7B">
        <w:rPr>
          <w:rFonts w:ascii="Times New Roman" w:hAnsi="Times New Roman" w:cs="Times New Roman"/>
          <w:sz w:val="24"/>
          <w:szCs w:val="24"/>
        </w:rPr>
        <w:t>010)–</w:t>
      </w:r>
      <w:proofErr w:type="gramEnd"/>
      <w:r w:rsidRPr="00C53F7B">
        <w:rPr>
          <w:rFonts w:ascii="Times New Roman" w:hAnsi="Times New Roman" w:cs="Times New Roman"/>
          <w:sz w:val="24"/>
          <w:szCs w:val="24"/>
        </w:rPr>
        <w:t>Water Interface</w:t>
      </w:r>
    </w:p>
    <w:p w14:paraId="3A88F67A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F Ambrosio, 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27D6C04D" w14:textId="7F13320C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ACS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interfaces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10 (12), 10011</w:t>
      </w:r>
    </w:p>
    <w:p w14:paraId="1E73FF8E" w14:textId="631FB48A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35C23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Alignment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redox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–water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interfaces</w:t>
      </w:r>
      <w:proofErr w:type="spellEnd"/>
    </w:p>
    <w:p w14:paraId="2D027798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W Chen, P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Gono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525DF6B0" w14:textId="2F07E748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F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30 (1), 94-111</w:t>
      </w:r>
    </w:p>
    <w:p w14:paraId="5D408F4B" w14:textId="10C61DCB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C7482" w14:textId="3C26FADE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C53F7B">
        <w:rPr>
          <w:rFonts w:ascii="Times New Roman" w:hAnsi="Times New Roman" w:cs="Times New Roman"/>
          <w:sz w:val="24"/>
          <w:szCs w:val="24"/>
        </w:rPr>
        <w:t xml:space="preserve">Comprehensive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the band gap and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BiVO4</w:t>
      </w:r>
    </w:p>
    <w:p w14:paraId="6B6EA173" w14:textId="77777777" w:rsidR="00C53F7B" w:rsidRP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F7B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Wiktor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Reshetnyak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, F Ambrosio, A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Pasquarello</w:t>
      </w:r>
      <w:proofErr w:type="spellEnd"/>
    </w:p>
    <w:p w14:paraId="1B71BDA7" w14:textId="1D10E461" w:rsidR="00C53F7B" w:rsidRDefault="00C53F7B" w:rsidP="00C53F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F7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C53F7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53F7B">
        <w:rPr>
          <w:rFonts w:ascii="Times New Roman" w:hAnsi="Times New Roman" w:cs="Times New Roman"/>
          <w:sz w:val="24"/>
          <w:szCs w:val="24"/>
        </w:rPr>
        <w:t xml:space="preserve"> 1 (2), 022401</w:t>
      </w:r>
    </w:p>
    <w:p w14:paraId="2C1628D8" w14:textId="6929A482" w:rsidR="003020AD" w:rsidRDefault="003020AD" w:rsidP="00C53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B42B9" w14:textId="77777777" w:rsidR="003020AD" w:rsidRPr="003020AD" w:rsidRDefault="003020AD" w:rsidP="003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Strategy and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Mechanistic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Activity of Cs3Bi2Br9 Lead‐Free Perovskite Derivative by g‐C3N4 Composite Engineering</w:t>
      </w:r>
    </w:p>
    <w:p w14:paraId="78BB84E0" w14:textId="720E8425" w:rsidR="003020AD" w:rsidRPr="003020AD" w:rsidRDefault="003020AD" w:rsidP="003020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0A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Romani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7D98F859" w14:textId="4CE58521" w:rsidR="003020AD" w:rsidRPr="00C53F7B" w:rsidRDefault="003020AD" w:rsidP="003020AD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D"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020AD">
        <w:rPr>
          <w:rFonts w:ascii="Times New Roman" w:hAnsi="Times New Roman" w:cs="Times New Roman"/>
          <w:sz w:val="24"/>
          <w:szCs w:val="24"/>
        </w:rPr>
        <w:t xml:space="preserve"> 31 (46), 2104428</w:t>
      </w:r>
    </w:p>
    <w:sectPr w:rsidR="003020AD" w:rsidRPr="00C53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B"/>
    <w:rsid w:val="003020AD"/>
    <w:rsid w:val="007A32FE"/>
    <w:rsid w:val="00C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67DC"/>
  <w15:chartTrackingRefBased/>
  <w15:docId w15:val="{00F06BB0-E103-4F27-81DA-9CEEF00C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F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F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AMBROSIO</dc:creator>
  <cp:keywords/>
  <dc:description/>
  <cp:lastModifiedBy>Francesco AMBROSIO</cp:lastModifiedBy>
  <cp:revision>2</cp:revision>
  <dcterms:created xsi:type="dcterms:W3CDTF">2022-12-06T14:55:00Z</dcterms:created>
  <dcterms:modified xsi:type="dcterms:W3CDTF">2022-12-06T15:04:00Z</dcterms:modified>
</cp:coreProperties>
</file>