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jc w:val="center"/>
      </w:pPr>
      <w:r>
        <w:rPr>
          <w:rFonts w:ascii="Cambria" w:hAnsi="Cambria" w:asciiTheme="majorHAnsi" w:hAnsiTheme="majorHAnsi" w:eastAsiaTheme="majorEastAsia" w:cstheme="majorBidi"/>
          <w:b w:val="true"/>
          <w:bCs w:val="true"/>
          <w:color w:val="365F91" w:themeColor="accent1" w:themeShade="bf"/>
          <w:sz w:val="40"/>
          <w:szCs w:val="40"/>
        </w:rPr>
        <w:t>Syllabus Attività Formativa</w:t>
      </w:r>
    </w:p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3341"/>
        <w:gridCol w:w="10663"/>
      </w:tblGrid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Offerta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2020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0331 - FILOLOGIA CLASSICA E MODERNA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Regolamento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0331-19-20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CLA - CURRICULUM CLASSICO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Insegnamento/Modulo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DSU0112 - DIDATTICA DELLA LINGUA LATINA - DIDACTICS OF LATIN LANGUAGE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Attività Formativa Integrata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 - 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Partizione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 - 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Periodo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S2 - Secondo Semestre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Sede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POTENZA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Settore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L-FIL-LET/04 - LINGUA E LETTERATURA LATINA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attività Formativa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 - Affine/Integrativa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Ambito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20895 - Attività formative affini o integrative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CFU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6.0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Ore Attività Frontali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30.0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AF_ID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32440</w:t>
            </w:r>
          </w:p>
        </w:tc>
      </w:tr>
    </w:tbl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1699"/>
        <w:gridCol w:w="1840"/>
        <w:gridCol w:w="1248"/>
        <w:gridCol w:w="533"/>
        <w:gridCol w:w="4348"/>
        <w:gridCol w:w="4336"/>
      </w:tblGrid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Codice 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Num. Max. Caratteri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Obbl.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Italiano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Inglese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Lingua insegnamento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LINGUA_INS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Italiano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 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Italian 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Obiettivi formativi e risultati di 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OBIETT_FORM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color w:val="000000"/>
              </w:rPr>
              <w:t xml:space="preserve">Conoscenze: Il Corso ha come finalità l’analisi linguistica di testi latini letterari e documentari in relazione allo svolgimento diacronico della Poesia e Prosa Latina ed alle metodologie didattiche ad essa applicate.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color w:val="000000"/>
              </w:rPr>
              <w:t xml:space="preserve">Abilità: si attende che lo studente giunga alla fluida comprensione di testi latini, e acquisisca capacità di approccio didattico.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The course aims at provi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ding students with an in-depth knowledge of Latin Literary language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, so that they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may be used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 for educational purposes.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Prerequisiti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PREREQ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color w:val="000000"/>
              </w:rPr>
              <w:t xml:space="preserve">Conoscenza sicura del lessico e della grammatica della lingua latina. Fondamenti di storia della letteratura latina.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Prior knowledge of Latin language as well as of Latin civilization are required.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Contenuti del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CONTENUTI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Le lezioni in aula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verteranno su una scelta di testi e documenti del Latino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Letterario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, con speciale attenzione alle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problematiche della pratica didattica.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Students will be faced with a choice of exemplary texts of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literary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Latin, with special attention to the didactic problems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Programma esteso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PROGR_EST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didattici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METODI_DID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color w:val="000000"/>
              </w:rPr>
              <w:t xml:space="preserve">Lezioni frontali in aula e seminari scientifici di approfondimento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Lessons in classroom and scientific seminaries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Modalità di verifica dell'apprendimento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MOD_VER_APPR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Esami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orali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Oral examination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Testi di riferimento e di approfondimento, materiale didattico Online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TESTI_RIF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M. PACE PIERI, 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Didattica del Latino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(Roma, Carocci 2007) STOLZ. – DEBRUNNER – SCHMID, Storia della Lingua Latina (Bologna, Patron 2000 R) 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Ovidio, Metamorfosi (Ed. BUR a c. di GP. Rosati)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Petronio, 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Sat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yricon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(ed.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scelta) 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M. PACE PIERI, 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Didattica del Latino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(Roma, Carocci 2007) STOLZ. – DEBRUNNER – SCHMID, Storia della Lingua Latina (Bologna, Patron 2000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R) 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Ovidio, Metamorfosi (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Bur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, by GP. Rosati)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Petronio, 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Satyricon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(ed.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scelta) 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Passio Perpetuae et Felicitatis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(ed.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a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scelta)   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Passio 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Laurentii</w:t>
            </w:r>
            <w:r>
              <w:rPr>
                <w:rFonts w:ascii="Arial" w:hAnsi="Arial" w:eastAsia="Times New Roman" w:cs="Times New Roman"/>
                <w:i w:val="true"/>
                <w:iCs w:val="tr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(dispense a cura della docente)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e modalità di gestione dei rapporti con gli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GEST_RAP_STUD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La docente ric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everà generalmente di mercoledì o anche su appuntamento.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The professor receives generally on Wednesdays, or by appointment 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Date di esame previste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DATE_ESAMI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Seminari di esperti esterni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SEM_ESP_EST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Altre informazioni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ALTRO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</w:tbl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3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