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8" w:rsidRDefault="00EA3D5F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 xml:space="preserve">Syllabus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>Attività</w:t>
      </w:r>
      <w:proofErr w:type="spellEnd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>Formativa</w:t>
      </w:r>
      <w:proofErr w:type="spellEnd"/>
    </w:p>
    <w:p w:rsidR="00C12C68" w:rsidRDefault="00C12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Anno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2020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0330 - STUDI UMANISTICI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Regolamento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0330-14-20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Percorso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Studio</w:t>
            </w:r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CLA </w:t>
            </w:r>
            <w:r w:rsidR="00762D3D">
              <w:rPr>
                <w:rFonts w:ascii="Arial" w:eastAsia="Times New Roman" w:hAnsi="Arial" w:cs="Times New Roman"/>
                <w:color w:val="000000"/>
              </w:rPr>
              <w:t>–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Classico</w:t>
            </w:r>
            <w:proofErr w:type="spellEnd"/>
          </w:p>
        </w:tc>
      </w:tr>
      <w:tr w:rsidR="00C12C68" w:rsidRPr="00762D3D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/Modulo</w:t>
            </w:r>
          </w:p>
        </w:tc>
        <w:tc>
          <w:tcPr>
            <w:tcW w:w="10663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LET0104 - LINGUA E LETTERATURA LATINA I - LATIN LANGUAGE AND LITERATURE I</w:t>
            </w:r>
          </w:p>
        </w:tc>
      </w:tr>
      <w:tr w:rsidR="00C12C68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Integrata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Studenti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S2 - Secondo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Semestre</w:t>
            </w:r>
            <w:proofErr w:type="spellEnd"/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POTENZA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</w:t>
            </w:r>
          </w:p>
        </w:tc>
      </w:tr>
      <w:tr w:rsidR="00C12C68" w:rsidRPr="00762D3D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L-FIL-LET/04 - LINGUA E LETTERATURA LATINA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A </w:t>
            </w:r>
            <w:r w:rsidR="00762D3D">
              <w:rPr>
                <w:rFonts w:ascii="Arial" w:eastAsia="Times New Roman" w:hAnsi="Arial" w:cs="Times New Roman"/>
                <w:color w:val="000000"/>
              </w:rPr>
              <w:t>–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Base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Ambito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50013 -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Lingue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letterature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classiche</w:t>
            </w:r>
            <w:proofErr w:type="spellEnd"/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6.0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30.0</w:t>
            </w:r>
          </w:p>
        </w:tc>
      </w:tr>
      <w:tr w:rsidR="00C12C68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32307</w:t>
            </w:r>
          </w:p>
        </w:tc>
      </w:tr>
    </w:tbl>
    <w:p w:rsidR="00C12C68" w:rsidRDefault="00C12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840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Codice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248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Num. Max.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Caratteri</w:t>
            </w:r>
            <w:proofErr w:type="spellEnd"/>
          </w:p>
        </w:tc>
        <w:tc>
          <w:tcPr>
            <w:tcW w:w="533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4336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Inglese</w:t>
            </w:r>
            <w:proofErr w:type="spellEnd"/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Lingua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o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LINGUA_INS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Italiano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Italian </w:t>
            </w: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>Obiettivi formativi</w:t>
            </w:r>
            <w:r w:rsidRPr="00762D3D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 xml:space="preserve"> e risultati di apprendimento</w:t>
            </w:r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OBIETT_FORM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proofErr w:type="gramStart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o</w:t>
            </w:r>
            <w:proofErr w:type="gramEnd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Conoscenze: Il corso mira a introdurre gli studenti alle problematiche dei generi e delle varietà linguistiche del sistema letterario latino dalle origini all’età di Cesare e di Augusto.  </w:t>
            </w: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proofErr w:type="gramStart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o</w:t>
            </w:r>
            <w:proofErr w:type="gramEnd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Abilità: si atte</w:t>
            </w: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nde che lo studente accresca le conoscenze lessicali e sintattiche della Lingua Latina e acquisisca una percezione diacronica della Letteratura e della Civiltà Latina nel periodo considerato </w:t>
            </w: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proofErr w:type="gramStart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o</w:t>
            </w:r>
            <w:proofErr w:type="gramEnd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Gli studenti con debito in Latino nei test d’ingresso dovranno</w:t>
            </w: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acquisire conoscenze preliminari seguendo un programma utilizzando una grammatica latina per scuole superiori </w:t>
            </w: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The course aims to introduce students to the problems of the Latin Language and Literary System from the origins to Caesar and Augustus.  </w:t>
            </w: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Prer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equisiti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PREREQ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proofErr w:type="gramStart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o</w:t>
            </w:r>
            <w:proofErr w:type="gramEnd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Ampia conoscenza del lessico e sufficiente conoscenza della grammatica della Lingua latina; fondamenti della Letteratura Latina.</w:t>
            </w: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Is required prior knowledge of Latin Lexicon and Grammar, and Literature</w:t>
            </w: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Contenuti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del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CONTENUTI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Le lezioni (30 h) saranno dedicate alla lettura e al commento di passi in lingua originale, tratti dalla produzione letteraria </w:t>
            </w:r>
            <w:r w:rsid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del </w:t>
            </w:r>
            <w:r w:rsidR="00501DF2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periodo </w:t>
            </w:r>
            <w:bookmarkStart w:id="0" w:name="_GoBack"/>
            <w:bookmarkEnd w:id="0"/>
            <w:r w:rsidR="00762D3D">
              <w:rPr>
                <w:rFonts w:ascii="Arial" w:eastAsia="Times New Roman" w:hAnsi="Arial" w:cs="Times New Roman"/>
                <w:color w:val="000000"/>
                <w:lang w:val="it-IT"/>
              </w:rPr>
              <w:t>considerato</w:t>
            </w: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. </w:t>
            </w: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Si presterà particolare attenzione alle </w:t>
            </w: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lastRenderedPageBreak/>
              <w:t>strutture linguistiche e grammaticali, alla composizione de</w:t>
            </w: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l testo letterario ed alla sua destinazione. Nel corso dell’esame, gli studenti dovranno mostrare padronanza della lingua latina e della letteratura, dalle origini all’età di Augusto. </w:t>
            </w:r>
          </w:p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 xml:space="preserve">Lessons (30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hrs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>) will be used to read and comment on literary passages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in the original language: particular attention will be paid to language and grammar structures, to issues of text composition </w:t>
            </w: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and the audience</w:t>
            </w: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Programma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esteso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PROGR_EST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didattici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METODI_DID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proofErr w:type="gramStart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o</w:t>
            </w:r>
            <w:proofErr w:type="gramEnd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Lezioni frontali e seminari scientifici </w:t>
            </w:r>
          </w:p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Lessons in classroom and scientific seminars</w:t>
            </w: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verifica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dell'apprendimento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MOD_VER_APPR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Esame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orale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Oral examination  </w:t>
            </w:r>
          </w:p>
        </w:tc>
      </w:tr>
      <w:tr w:rsidR="00C12C68" w:rsidRPr="00762D3D">
        <w:tc>
          <w:tcPr>
            <w:tcW w:w="1699" w:type="dxa"/>
            <w:shd w:val="clear" w:color="auto" w:fill="F2F2F2" w:themeFill="background1" w:themeFillShade="F2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t>Testi di riferimento e di approfondimento, materiale didattico Online</w:t>
            </w:r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TESTI_RIF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1) </w:t>
            </w:r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 xml:space="preserve">GB. Conte – E. </w:t>
            </w:r>
            <w:proofErr w:type="spellStart"/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>Pianezzola</w:t>
            </w:r>
            <w:proofErr w:type="spellEnd"/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>, Lezioni di Letteratura Latina, vv. I e II (Firenze 2011)</w:t>
            </w: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NB: i non frequentanti dovranno portare 20 passi in prosa, relativi all’età di Cesare; 10 in versi, relativi all’età di Augusto. I passi, tratti dai due volumi del manuale, potranno essere liberame</w:t>
            </w: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nte scelti. </w:t>
            </w:r>
          </w:p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2) </w:t>
            </w:r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 xml:space="preserve">F. Stok, I Classici dal papiro a internet  </w:t>
            </w:r>
          </w:p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lastRenderedPageBreak/>
              <w:t xml:space="preserve">1) </w:t>
            </w:r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 xml:space="preserve">GB. Conte – E. </w:t>
            </w:r>
            <w:proofErr w:type="spellStart"/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>Pianezzola</w:t>
            </w:r>
            <w:proofErr w:type="spellEnd"/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 xml:space="preserve">, Lezioni di Letteratura Latina, vv.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I e II (Firenze 2011)</w:t>
            </w:r>
          </w:p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NB: Non-attending students must bring 20 prose passages relating to the age of Caesar;</w:t>
            </w:r>
          </w:p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lastRenderedPageBreak/>
              <w:t xml:space="preserve">2) </w:t>
            </w:r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>F. Stok, I Clas</w:t>
            </w:r>
            <w:r w:rsidRPr="00762D3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it-IT"/>
              </w:rPr>
              <w:t xml:space="preserve">sici dal papiro a internet  </w:t>
            </w:r>
          </w:p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  <w:p w:rsidR="00C12C68" w:rsidRPr="00762D3D" w:rsidRDefault="00C12C6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b/>
                <w:bCs/>
                <w:color w:val="000000"/>
                <w:lang w:val="it-IT"/>
              </w:rPr>
              <w:lastRenderedPageBreak/>
              <w:t>Metodi e modalità di gestione dei rapporti con gli studenti</w:t>
            </w:r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GEST_RAP_STUD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Pr="00762D3D" w:rsidRDefault="00EA3D5F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La docente riceverà generalmente di </w:t>
            </w:r>
            <w:proofErr w:type="spellStart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mercoledi</w:t>
            </w:r>
            <w:proofErr w:type="spellEnd"/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>; in altri giorni anche su appuntamento</w:t>
            </w:r>
            <w:r w:rsidRPr="00762D3D">
              <w:rPr>
                <w:rFonts w:ascii="Arial" w:eastAsia="Times New Roman" w:hAnsi="Arial" w:cs="Times New Roman"/>
                <w:i/>
                <w:iCs/>
                <w:color w:val="000000"/>
                <w:lang w:val="it-IT"/>
              </w:rPr>
              <w:t>…</w:t>
            </w:r>
          </w:p>
        </w:tc>
        <w:tc>
          <w:tcPr>
            <w:tcW w:w="4336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 w:rsidRPr="00762D3D">
              <w:rPr>
                <w:rFonts w:ascii="Arial" w:eastAsia="Times New Roman" w:hAnsi="Arial" w:cs="Times New Roman"/>
                <w:color w:val="000000"/>
                <w:lang w:val="it-IT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The teacher receives generally the Wednesday, or on the appointment</w:t>
            </w: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Date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esame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previste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DATE_ESAMI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Seminari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esperti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esterni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SEM_ESP_EST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C12C68">
        <w:tc>
          <w:tcPr>
            <w:tcW w:w="1699" w:type="dxa"/>
            <w:shd w:val="clear" w:color="auto" w:fill="F2F2F2" w:themeFill="background1" w:themeFillShade="F2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Altre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informazioni</w:t>
            </w:r>
            <w:proofErr w:type="spellEnd"/>
          </w:p>
        </w:tc>
        <w:tc>
          <w:tcPr>
            <w:tcW w:w="1840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ALTRO</w:t>
            </w:r>
          </w:p>
        </w:tc>
        <w:tc>
          <w:tcPr>
            <w:tcW w:w="12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533" w:type="dxa"/>
          </w:tcPr>
          <w:p w:rsidR="00C12C68" w:rsidRDefault="00EA3D5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</w:t>
            </w:r>
          </w:p>
        </w:tc>
        <w:tc>
          <w:tcPr>
            <w:tcW w:w="4348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36" w:type="dxa"/>
          </w:tcPr>
          <w:p w:rsidR="00C12C68" w:rsidRDefault="00C12C6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</w:tbl>
    <w:p w:rsidR="00EA3D5F" w:rsidRDefault="00EA3D5F"/>
    <w:sectPr w:rsidR="00EA3D5F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1C71"/>
    <w:multiLevelType w:val="multilevel"/>
    <w:tmpl w:val="B25C29B2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40071D89"/>
    <w:multiLevelType w:val="multilevel"/>
    <w:tmpl w:val="B4A25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E71574"/>
    <w:multiLevelType w:val="multilevel"/>
    <w:tmpl w:val="60005086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6F1122B6"/>
    <w:multiLevelType w:val="multilevel"/>
    <w:tmpl w:val="C45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12C68"/>
    <w:rsid w:val="00501DF2"/>
    <w:rsid w:val="00762D3D"/>
    <w:rsid w:val="00C12C68"/>
    <w:rsid w:val="00E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2FC6-50F7-4B70-83EC-3BA84302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Maria</cp:lastModifiedBy>
  <cp:revision>3</cp:revision>
  <dcterms:created xsi:type="dcterms:W3CDTF">2021-02-27T12:14:00Z</dcterms:created>
  <dcterms:modified xsi:type="dcterms:W3CDTF">2021-02-27T12:15:00Z</dcterms:modified>
</cp:coreProperties>
</file>